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C6" w:rsidRPr="00A11DC6" w:rsidRDefault="00A11DC6" w:rsidP="00A11DC6">
      <w:pPr>
        <w:textAlignment w:val="baseline"/>
        <w:rPr>
          <w:rFonts w:ascii="inherit" w:hAnsi="inherit" w:cs="Times New Roman"/>
          <w:color w:val="000000"/>
          <w:sz w:val="30"/>
          <w:szCs w:val="30"/>
        </w:rPr>
      </w:pPr>
      <w:r w:rsidRPr="00A11DC6">
        <w:rPr>
          <w:rFonts w:ascii="inherit" w:hAnsi="inherit" w:cs="Times New Roman"/>
          <w:i/>
          <w:iCs/>
          <w:color w:val="000000"/>
          <w:sz w:val="30"/>
          <w:szCs w:val="30"/>
          <w:bdr w:val="none" w:sz="0" w:space="0" w:color="auto" w:frame="1"/>
        </w:rPr>
        <w:t>Prepare an income statement, retained earnings statement, and balance sheet; discuss results</w:t>
      </w:r>
      <w:r w:rsidRPr="00A11DC6">
        <w:rPr>
          <w:rFonts w:ascii="inherit" w:hAnsi="inherit" w:cs="Times New Roman"/>
          <w:color w:val="000000"/>
          <w:sz w:val="30"/>
          <w:szCs w:val="30"/>
        </w:rPr>
        <w:t>.</w:t>
      </w:r>
    </w:p>
    <w:p w:rsidR="00A11DC6" w:rsidRPr="00A11DC6" w:rsidRDefault="00A11DC6" w:rsidP="00A11DC6">
      <w:pPr>
        <w:spacing w:before="48"/>
        <w:textAlignment w:val="baseline"/>
        <w:rPr>
          <w:rFonts w:ascii="inherit" w:hAnsi="inherit" w:cs="Times New Roman"/>
          <w:b/>
          <w:bCs/>
          <w:color w:val="66CCFF"/>
          <w:sz w:val="30"/>
          <w:szCs w:val="30"/>
        </w:rPr>
      </w:pPr>
      <w:r w:rsidRPr="00A11DC6">
        <w:rPr>
          <w:rFonts w:ascii="inherit" w:hAnsi="inherit" w:cs="Times New Roman"/>
          <w:b/>
          <w:bCs/>
          <w:color w:val="66CCFF"/>
          <w:sz w:val="30"/>
          <w:szCs w:val="30"/>
        </w:rPr>
        <w:t>(LO 3), AP </w:t>
      </w:r>
      <w:r>
        <w:rPr>
          <w:rFonts w:ascii="inherit" w:hAnsi="inherit" w:cs="Times New Roman"/>
          <w:b/>
          <w:bCs/>
          <w:noProof/>
          <w:color w:val="66CCFF"/>
          <w:sz w:val="30"/>
          <w:szCs w:val="30"/>
        </w:rPr>
        <mc:AlternateContent>
          <mc:Choice Requires="wps">
            <w:drawing>
              <wp:inline distT="0" distB="0" distL="0" distR="0">
                <wp:extent cx="304800" cy="304800"/>
                <wp:effectExtent l="0" t="0" r="0" b="0"/>
                <wp:docPr id="4" name="AutoShape 1"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UOb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mGAk&#10;aQctutta5T2jGCPGTQnl6mgNjYNiDb3J4M1j/6Bduqa/V+U3g6RaNlTW/M70UHIgAoAdVVqroeGU&#10;QdSxgwgvMNzBABraDB8VA/cU3PtS7ivdOR9QJLT3HXs6dYzvLSpBeR2ReQR9LcF0kJ0Hmh0f99rY&#10;91x1yAk51hCdB6e7e2PHq8crzpdUhWhb0NOslRcKwBw14BqeOpsLwvf4Zxql6/l6TgKSTNcBiRgL&#10;7oolCaZFPJusrlfL5Sr+5fzGJGsEY1w6N0e+xeTP+nlg/siUE+OMagVzcC4ko+vNstVoR4HvhV++&#10;5GB5vhZehuHrBbm8SClOSPQuSYNiOp8FpCKTIJ1F8yCK03fpNCIpWRWXKd0Lyf89JTTkOJ0kE9+l&#10;s6Bf5Bb59To3mnXCwkRpRZdjoAYsd4lmjoFrybxsqWhH+awULvznUkC7j432fHUUHdm/UewJ6KoV&#10;0AmYB7MPhEbpHxgNMEdybL5vqeYYtR8kUD6NCXGDxx/IZJbAQZ9bNucWKkuAyrHFaBSXdhxW216L&#10;ugFPsS+MVO6XVsJT2H2hMarD54JZ4TM5zDU3jM7P/tbz9F38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MPq1Dm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A11DC6" w:rsidRPr="00A11DC6" w:rsidRDefault="00A11DC6" w:rsidP="00A11DC6">
      <w:pPr>
        <w:spacing w:before="48" w:after="48"/>
        <w:textAlignment w:val="baseline"/>
        <w:rPr>
          <w:rFonts w:ascii="Georgia" w:hAnsi="Georgia" w:cs="Times New Roman"/>
          <w:color w:val="000000"/>
          <w:sz w:val="30"/>
          <w:szCs w:val="30"/>
        </w:rPr>
      </w:pPr>
      <w:r w:rsidRPr="00A11DC6">
        <w:rPr>
          <w:rFonts w:ascii="inherit" w:hAnsi="inherit" w:cs="Times New Roman"/>
          <w:b/>
          <w:bCs/>
          <w:color w:val="FF6633"/>
          <w:sz w:val="30"/>
          <w:szCs w:val="30"/>
        </w:rPr>
        <w:t>P1-3A</w:t>
      </w:r>
      <w:r w:rsidRPr="00A11DC6">
        <w:rPr>
          <w:rFonts w:ascii="Georgia" w:hAnsi="Georgia" w:cs="Times New Roman"/>
          <w:color w:val="000000"/>
          <w:sz w:val="30"/>
          <w:szCs w:val="30"/>
        </w:rPr>
        <w:t> On June 1, 2017, Elite Service Co. was started with an initial investment in the company of $22,100 cash. Here are the assets, liabilities, and common stock of the company at June 30, 2017, and the revenues and expenses for the month of June, its first month of operations:</w:t>
      </w:r>
    </w:p>
    <w:tbl>
      <w:tblPr>
        <w:tblW w:w="0" w:type="auto"/>
        <w:tblCellMar>
          <w:left w:w="0" w:type="dxa"/>
          <w:right w:w="0" w:type="dxa"/>
        </w:tblCellMar>
        <w:tblLook w:val="04A0" w:firstRow="1" w:lastRow="0" w:firstColumn="1" w:lastColumn="0" w:noHBand="0" w:noVBand="1"/>
      </w:tblPr>
      <w:tblGrid>
        <w:gridCol w:w="2548"/>
        <w:gridCol w:w="990"/>
        <w:gridCol w:w="4080"/>
        <w:gridCol w:w="1065"/>
      </w:tblGrid>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Cash</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$ 4,600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Notes payable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$12,000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Accounts receivable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4,000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Accounts payable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500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Service revenue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7,500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Supplies expense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1,000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Supplies</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2,400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Maintenance and repairs expense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600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Advertising expense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400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Utilities expense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300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Equipment</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26,000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Salaries and wages expense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1,400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Common stock</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22,100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 </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 </w:t>
            </w:r>
          </w:p>
        </w:tc>
      </w:tr>
    </w:tbl>
    <w:p w:rsidR="00A11DC6" w:rsidRPr="00A11DC6" w:rsidRDefault="00A11DC6" w:rsidP="00A11DC6">
      <w:pPr>
        <w:spacing w:before="48" w:after="48"/>
        <w:textAlignment w:val="baseline"/>
        <w:rPr>
          <w:rFonts w:ascii="Georgia" w:hAnsi="Georgia" w:cs="Times New Roman"/>
          <w:color w:val="000000"/>
          <w:sz w:val="30"/>
          <w:szCs w:val="30"/>
        </w:rPr>
      </w:pPr>
      <w:r w:rsidRPr="00A11DC6">
        <w:rPr>
          <w:rFonts w:ascii="Georgia" w:hAnsi="Georgia" w:cs="Times New Roman"/>
          <w:color w:val="000000"/>
          <w:sz w:val="30"/>
          <w:szCs w:val="30"/>
        </w:rPr>
        <w:t>In June, the company issued no additional stock but paid dividends of $1,400.</w:t>
      </w:r>
    </w:p>
    <w:p w:rsidR="00A11DC6" w:rsidRPr="00A11DC6" w:rsidRDefault="00A11DC6" w:rsidP="00A11DC6">
      <w:pPr>
        <w:textAlignment w:val="baseline"/>
        <w:rPr>
          <w:rFonts w:ascii="Georgia" w:hAnsi="Georgia" w:cs="Times New Roman"/>
          <w:color w:val="66CCFF"/>
          <w:sz w:val="30"/>
          <w:szCs w:val="30"/>
        </w:rPr>
      </w:pPr>
      <w:r w:rsidRPr="00A11DC6">
        <w:rPr>
          <w:rFonts w:ascii="inherit" w:hAnsi="inherit" w:cs="Times New Roman"/>
          <w:b/>
          <w:bCs/>
          <w:i/>
          <w:iCs/>
          <w:color w:val="66CCFF"/>
          <w:sz w:val="30"/>
          <w:szCs w:val="30"/>
          <w:bdr w:val="none" w:sz="0" w:space="0" w:color="auto" w:frame="1"/>
        </w:rPr>
        <w:t>Check figures</w:t>
      </w:r>
      <w:r w:rsidRPr="00A11DC6">
        <w:rPr>
          <w:rFonts w:ascii="inherit" w:hAnsi="inherit" w:cs="Times New Roman"/>
          <w:i/>
          <w:iCs/>
          <w:color w:val="66CCFF"/>
          <w:sz w:val="30"/>
          <w:szCs w:val="30"/>
          <w:bdr w:val="none" w:sz="0" w:space="0" w:color="auto" w:frame="1"/>
        </w:rPr>
        <w:t> provide a key number to let you know you are on the right track</w:t>
      </w:r>
      <w:r w:rsidRPr="00A11DC6">
        <w:rPr>
          <w:rFonts w:ascii="Georgia" w:hAnsi="Georgia" w:cs="Times New Roman"/>
          <w:color w:val="66CCFF"/>
          <w:sz w:val="30"/>
          <w:szCs w:val="30"/>
        </w:rPr>
        <w:t>.</w:t>
      </w:r>
    </w:p>
    <w:p w:rsidR="00A11DC6" w:rsidRPr="00A11DC6" w:rsidRDefault="00A11DC6" w:rsidP="00A11DC6">
      <w:pPr>
        <w:textAlignment w:val="baseline"/>
        <w:rPr>
          <w:rFonts w:ascii="Georgia" w:hAnsi="Georgia" w:cs="Times New Roman"/>
          <w:color w:val="000000"/>
          <w:sz w:val="30"/>
          <w:szCs w:val="30"/>
        </w:rPr>
      </w:pPr>
      <w:r w:rsidRPr="00A11DC6">
        <w:rPr>
          <w:rFonts w:ascii="inherit" w:hAnsi="inherit" w:cs="Times New Roman"/>
          <w:i/>
          <w:iCs/>
          <w:color w:val="000000"/>
          <w:sz w:val="30"/>
          <w:szCs w:val="30"/>
          <w:bdr w:val="none" w:sz="0" w:space="0" w:color="auto" w:frame="1"/>
        </w:rPr>
        <w:t>Instructions</w:t>
      </w:r>
    </w:p>
    <w:tbl>
      <w:tblPr>
        <w:tblW w:w="0" w:type="auto"/>
        <w:tblCellMar>
          <w:left w:w="0" w:type="dxa"/>
          <w:right w:w="0" w:type="dxa"/>
        </w:tblCellMar>
        <w:tblLook w:val="04A0" w:firstRow="1" w:lastRow="0" w:firstColumn="1" w:lastColumn="0" w:noHBand="0" w:noVBand="1"/>
      </w:tblPr>
      <w:tblGrid>
        <w:gridCol w:w="1890"/>
        <w:gridCol w:w="1065"/>
      </w:tblGrid>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66CCFF"/>
                <w:sz w:val="30"/>
                <w:szCs w:val="30"/>
              </w:rPr>
            </w:pPr>
            <w:r w:rsidRPr="00A11DC6">
              <w:rPr>
                <w:rFonts w:ascii="inherit" w:eastAsia="Times New Roman" w:hAnsi="inherit" w:cs="Times New Roman"/>
                <w:color w:val="66CCFF"/>
                <w:sz w:val="30"/>
                <w:szCs w:val="30"/>
              </w:rPr>
              <w:t>(a) Net income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66CCFF"/>
                <w:sz w:val="30"/>
                <w:szCs w:val="30"/>
              </w:rPr>
            </w:pPr>
            <w:r w:rsidRPr="00A11DC6">
              <w:rPr>
                <w:rFonts w:ascii="inherit" w:eastAsia="Times New Roman" w:hAnsi="inherit" w:cs="Times New Roman"/>
                <w:color w:val="66CCFF"/>
                <w:sz w:val="30"/>
                <w:szCs w:val="30"/>
              </w:rPr>
              <w:t>$</w:t>
            </w:r>
            <w:r w:rsidRPr="00A11DC6">
              <w:rPr>
                <w:rFonts w:ascii="inherit" w:eastAsia="Times New Roman" w:hAnsi="inherit" w:cs="Times New Roman"/>
                <w:color w:val="66CCFF"/>
                <w:sz w:val="30"/>
                <w:szCs w:val="30"/>
              </w:rPr>
              <w:t> </w:t>
            </w:r>
            <w:r w:rsidRPr="00A11DC6">
              <w:rPr>
                <w:rFonts w:ascii="inherit" w:eastAsia="Times New Roman" w:hAnsi="inherit" w:cs="Times New Roman"/>
                <w:color w:val="66CCFF"/>
                <w:sz w:val="30"/>
                <w:szCs w:val="30"/>
              </w:rPr>
              <w:t>3,800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66CCFF"/>
                <w:sz w:val="30"/>
                <w:szCs w:val="30"/>
              </w:rPr>
            </w:pPr>
            <w:r w:rsidRPr="00A11DC6">
              <w:rPr>
                <w:rFonts w:ascii="inherit" w:eastAsia="Times New Roman" w:hAnsi="inherit" w:cs="Times New Roman"/>
                <w:color w:val="66CCFF"/>
                <w:sz w:val="30"/>
                <w:szCs w:val="30"/>
              </w:rPr>
              <w:t>Ret. earnings</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66CCFF"/>
                <w:sz w:val="30"/>
                <w:szCs w:val="30"/>
              </w:rPr>
            </w:pPr>
            <w:r w:rsidRPr="00A11DC6">
              <w:rPr>
                <w:rFonts w:ascii="inherit" w:eastAsia="Times New Roman" w:hAnsi="inherit" w:cs="Times New Roman"/>
                <w:color w:val="66CCFF"/>
                <w:sz w:val="30"/>
                <w:szCs w:val="30"/>
              </w:rPr>
              <w:t>$</w:t>
            </w:r>
            <w:r w:rsidRPr="00A11DC6">
              <w:rPr>
                <w:rFonts w:ascii="inherit" w:eastAsia="Times New Roman" w:hAnsi="inherit" w:cs="Times New Roman"/>
                <w:color w:val="66CCFF"/>
                <w:sz w:val="30"/>
                <w:szCs w:val="30"/>
              </w:rPr>
              <w:t> </w:t>
            </w:r>
            <w:r w:rsidRPr="00A11DC6">
              <w:rPr>
                <w:rFonts w:ascii="inherit" w:eastAsia="Times New Roman" w:hAnsi="inherit" w:cs="Times New Roman"/>
                <w:color w:val="66CCFF"/>
                <w:sz w:val="30"/>
                <w:szCs w:val="30"/>
              </w:rPr>
              <w:t>2,400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66CCFF"/>
                <w:sz w:val="30"/>
                <w:szCs w:val="30"/>
              </w:rPr>
            </w:pPr>
            <w:r w:rsidRPr="00A11DC6">
              <w:rPr>
                <w:rFonts w:ascii="inherit" w:eastAsia="Times New Roman" w:hAnsi="inherit" w:cs="Times New Roman"/>
                <w:color w:val="66CCFF"/>
                <w:sz w:val="30"/>
                <w:szCs w:val="30"/>
              </w:rPr>
              <w:t xml:space="preserve">Tot. </w:t>
            </w:r>
            <w:proofErr w:type="gramStart"/>
            <w:r w:rsidRPr="00A11DC6">
              <w:rPr>
                <w:rFonts w:ascii="inherit" w:eastAsia="Times New Roman" w:hAnsi="inherit" w:cs="Times New Roman"/>
                <w:color w:val="66CCFF"/>
                <w:sz w:val="30"/>
                <w:szCs w:val="30"/>
              </w:rPr>
              <w:t>assets</w:t>
            </w:r>
            <w:proofErr w:type="gramEnd"/>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66CCFF"/>
                <w:sz w:val="30"/>
                <w:szCs w:val="30"/>
              </w:rPr>
            </w:pPr>
            <w:r w:rsidRPr="00A11DC6">
              <w:rPr>
                <w:rFonts w:ascii="inherit" w:eastAsia="Times New Roman" w:hAnsi="inherit" w:cs="Times New Roman"/>
                <w:color w:val="66CCFF"/>
                <w:sz w:val="30"/>
                <w:szCs w:val="30"/>
              </w:rPr>
              <w:t>$37,000</w:t>
            </w:r>
          </w:p>
        </w:tc>
      </w:tr>
    </w:tbl>
    <w:p w:rsidR="00A11DC6" w:rsidRPr="00A11DC6" w:rsidRDefault="00A11DC6" w:rsidP="00A11DC6">
      <w:pPr>
        <w:ind w:left="336" w:hanging="336"/>
        <w:textAlignment w:val="baseline"/>
        <w:rPr>
          <w:rFonts w:ascii="Georgia" w:hAnsi="Georgia" w:cs="Times New Roman"/>
          <w:color w:val="000000"/>
          <w:sz w:val="30"/>
          <w:szCs w:val="30"/>
        </w:rPr>
      </w:pPr>
      <w:r w:rsidRPr="00A11DC6">
        <w:rPr>
          <w:rFonts w:ascii="Georgia" w:hAnsi="Georgia" w:cs="Times New Roman"/>
          <w:color w:val="000000"/>
          <w:sz w:val="30"/>
          <w:szCs w:val="30"/>
        </w:rPr>
        <w:t>(a) Prepare an income statement and a retained earnings statement for the month of June and a balance sheet at June 30, 2017.</w:t>
      </w:r>
    </w:p>
    <w:p w:rsidR="00A11DC6" w:rsidRPr="00A11DC6" w:rsidRDefault="00A11DC6" w:rsidP="00A11DC6">
      <w:pPr>
        <w:ind w:left="336" w:hanging="336"/>
        <w:textAlignment w:val="baseline"/>
        <w:rPr>
          <w:rFonts w:ascii="Georgia" w:hAnsi="Georgia" w:cs="Times New Roman"/>
          <w:color w:val="000000"/>
          <w:sz w:val="30"/>
          <w:szCs w:val="30"/>
        </w:rPr>
      </w:pPr>
      <w:r w:rsidRPr="00A11DC6">
        <w:rPr>
          <w:rFonts w:ascii="Georgia" w:hAnsi="Georgia" w:cs="Times New Roman"/>
          <w:color w:val="000000"/>
          <w:sz w:val="30"/>
          <w:szCs w:val="30"/>
        </w:rPr>
        <w:t>(b) Briefly discuss whether the company's first month of operations was a success.</w:t>
      </w:r>
    </w:p>
    <w:p w:rsidR="00A11DC6" w:rsidRPr="00A11DC6" w:rsidRDefault="00A11DC6" w:rsidP="00A11DC6">
      <w:pPr>
        <w:ind w:left="336" w:hanging="336"/>
        <w:textAlignment w:val="baseline"/>
        <w:rPr>
          <w:rFonts w:ascii="Georgia" w:hAnsi="Georgia" w:cs="Times New Roman"/>
          <w:color w:val="000000"/>
          <w:sz w:val="30"/>
          <w:szCs w:val="30"/>
        </w:rPr>
      </w:pPr>
      <w:r w:rsidRPr="00A11DC6">
        <w:rPr>
          <w:rFonts w:ascii="Georgia" w:hAnsi="Georgia" w:cs="Times New Roman"/>
          <w:color w:val="000000"/>
          <w:sz w:val="30"/>
          <w:szCs w:val="30"/>
        </w:rPr>
        <w:t>(c) Discuss the company's decision to distribute a dividend.</w:t>
      </w:r>
    </w:p>
    <w:p w:rsidR="00A11DC6" w:rsidRPr="00A11DC6" w:rsidRDefault="00A11DC6" w:rsidP="00A11DC6">
      <w:pPr>
        <w:textAlignment w:val="baseline"/>
        <w:rPr>
          <w:rFonts w:ascii="inherit" w:hAnsi="inherit" w:cs="Times New Roman"/>
          <w:color w:val="000000"/>
          <w:sz w:val="30"/>
          <w:szCs w:val="30"/>
        </w:rPr>
      </w:pPr>
      <w:r w:rsidRPr="00A11DC6">
        <w:rPr>
          <w:rFonts w:ascii="inherit" w:hAnsi="inherit" w:cs="Times New Roman"/>
          <w:i/>
          <w:iCs/>
          <w:color w:val="000000"/>
          <w:sz w:val="30"/>
          <w:szCs w:val="30"/>
          <w:bdr w:val="none" w:sz="0" w:space="0" w:color="auto" w:frame="1"/>
        </w:rPr>
        <w:t>Determine items included in a statement of cash flows, prepare the statement, and comment</w:t>
      </w:r>
      <w:r w:rsidRPr="00A11DC6">
        <w:rPr>
          <w:rFonts w:ascii="inherit" w:hAnsi="inherit" w:cs="Times New Roman"/>
          <w:color w:val="000000"/>
          <w:sz w:val="30"/>
          <w:szCs w:val="30"/>
        </w:rPr>
        <w:t>.</w:t>
      </w:r>
    </w:p>
    <w:p w:rsidR="00A11DC6" w:rsidRPr="00A11DC6" w:rsidRDefault="00A11DC6" w:rsidP="00A11DC6">
      <w:pPr>
        <w:spacing w:before="48"/>
        <w:textAlignment w:val="baseline"/>
        <w:rPr>
          <w:rFonts w:ascii="inherit" w:hAnsi="inherit" w:cs="Times New Roman"/>
          <w:b/>
          <w:bCs/>
          <w:color w:val="66CCFF"/>
          <w:sz w:val="30"/>
          <w:szCs w:val="30"/>
        </w:rPr>
      </w:pPr>
      <w:r w:rsidRPr="00A11DC6">
        <w:rPr>
          <w:rFonts w:ascii="inherit" w:hAnsi="inherit" w:cs="Times New Roman"/>
          <w:b/>
          <w:bCs/>
          <w:color w:val="66CCFF"/>
          <w:sz w:val="30"/>
          <w:szCs w:val="30"/>
        </w:rPr>
        <w:t>(LO 3), AP </w:t>
      </w:r>
      <w:r>
        <w:rPr>
          <w:rFonts w:ascii="inherit" w:hAnsi="inherit" w:cs="Times New Roman"/>
          <w:b/>
          <w:bCs/>
          <w:noProof/>
          <w:color w:val="66CCFF"/>
          <w:sz w:val="30"/>
          <w:szCs w:val="30"/>
        </w:rPr>
        <mc:AlternateContent>
          <mc:Choice Requires="wps">
            <w:drawing>
              <wp:inline distT="0" distB="0" distL="0" distR="0">
                <wp:extent cx="304800" cy="304800"/>
                <wp:effectExtent l="0" t="0" r="0" b="0"/>
                <wp:docPr id="3" name="AutoShape 2"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e07o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Boj&#10;STto0d3WKu8ZJRgxbkooV0draBwUa+hNBm8e+wft0jX9vSq/GSTVsqGy5nemh5IDEQDsqNJaDQ2n&#10;DKKOHUR4geEOBtDQZvioGLin4N6Xcl/pzvmAIqG979jTqWN8b1EJyuuIzCPoawmmg+w80Oz4uNfG&#10;vueqQ07IsYboPDjd3Rs7Xj1ecb6kKkTbgp5mrbxQAOaoAdfw1NlcEL7HP9MoXc/XcxKQZLoOSMRY&#10;cFcsSTAt4tlkdb1aLlfxL+c3JlkjGOPSuTnyLSZ/1s8D80emnBhnVCuYg3MhGV1vlq1GOwp8L/zy&#10;JQfL87XwMgxfL8jlRUpxQqJ3SRoU0/ksIBWZBOksmgdRnL5LpxFJyaq4TOleSP7vKaEhx+kkmfgu&#10;nQX9IrfIr9e50awTFiZKK7ocAzVguUs0cwxcS+ZlS0U7ymelcOE/lwLafWy056uj6Mj+jWJPQFet&#10;gE7APJh9IDRK/8BogDmSY/N9SzXHqP0ggfJpTIgbPP5AJrMEDvrcsjm3UFkCVI4tRqO4tOOw2vZa&#10;1A14in1hpHK/tBKewu4LjVEdPhfMCp/JYa65YXR+9reep+/iN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D8Op7TugIAAMU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A11DC6" w:rsidRPr="00A11DC6" w:rsidRDefault="00A11DC6" w:rsidP="00A11DC6">
      <w:pPr>
        <w:spacing w:before="48" w:after="48"/>
        <w:textAlignment w:val="baseline"/>
        <w:rPr>
          <w:rFonts w:ascii="Georgia" w:hAnsi="Georgia" w:cs="Times New Roman"/>
          <w:color w:val="000000"/>
          <w:sz w:val="30"/>
          <w:szCs w:val="30"/>
        </w:rPr>
      </w:pPr>
      <w:r w:rsidRPr="00A11DC6">
        <w:rPr>
          <w:rFonts w:ascii="inherit" w:hAnsi="inherit" w:cs="Times New Roman"/>
          <w:b/>
          <w:bCs/>
          <w:color w:val="FF6633"/>
          <w:sz w:val="30"/>
          <w:szCs w:val="30"/>
        </w:rPr>
        <w:lastRenderedPageBreak/>
        <w:t>P1-4A</w:t>
      </w:r>
      <w:r w:rsidRPr="00A11DC6">
        <w:rPr>
          <w:rFonts w:ascii="Georgia" w:hAnsi="Georgia" w:cs="Times New Roman"/>
          <w:color w:val="000000"/>
          <w:sz w:val="30"/>
          <w:szCs w:val="30"/>
        </w:rPr>
        <w:t xml:space="preserve"> Presented below is selected financial information for </w:t>
      </w:r>
      <w:proofErr w:type="spellStart"/>
      <w:r w:rsidRPr="00A11DC6">
        <w:rPr>
          <w:rFonts w:ascii="Georgia" w:hAnsi="Georgia" w:cs="Times New Roman"/>
          <w:color w:val="000000"/>
          <w:sz w:val="30"/>
          <w:szCs w:val="30"/>
        </w:rPr>
        <w:t>Rojo</w:t>
      </w:r>
      <w:proofErr w:type="spellEnd"/>
      <w:r w:rsidRPr="00A11DC6">
        <w:rPr>
          <w:rFonts w:ascii="Georgia" w:hAnsi="Georgia" w:cs="Times New Roman"/>
          <w:color w:val="000000"/>
          <w:sz w:val="30"/>
          <w:szCs w:val="30"/>
        </w:rPr>
        <w:t xml:space="preserve"> Corporation for December 31, 2017.</w:t>
      </w:r>
    </w:p>
    <w:tbl>
      <w:tblPr>
        <w:tblW w:w="0" w:type="auto"/>
        <w:tblCellMar>
          <w:left w:w="0" w:type="dxa"/>
          <w:right w:w="0" w:type="dxa"/>
        </w:tblCellMar>
        <w:tblLook w:val="04A0" w:firstRow="1" w:lastRow="0" w:firstColumn="1" w:lastColumn="0" w:noHBand="0" w:noVBand="1"/>
      </w:tblPr>
      <w:tblGrid>
        <w:gridCol w:w="2661"/>
        <w:gridCol w:w="1113"/>
        <w:gridCol w:w="3843"/>
        <w:gridCol w:w="1113"/>
      </w:tblGrid>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Inventory</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$ 25,000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Cash paid to purchase equipment</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$ 12,000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Cash paid to suppliers</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104,000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Equipment</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40,000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Buildings</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200,000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Service revenue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100,000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Common stock</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50,000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Cash received from customers</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132,000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Cash dividends paid</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7,000</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Cash received from issuing common stock</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22,000</w:t>
            </w:r>
          </w:p>
        </w:tc>
      </w:tr>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Cash at beginning of period</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9,000</w:t>
            </w:r>
          </w:p>
        </w:tc>
        <w:tc>
          <w:tcPr>
            <w:tcW w:w="0" w:type="auto"/>
            <w:vAlign w:val="bottom"/>
            <w:hideMark/>
          </w:tcPr>
          <w:p w:rsidR="00A11DC6" w:rsidRPr="00A11DC6" w:rsidRDefault="00A11DC6" w:rsidP="00A11DC6">
            <w:pPr>
              <w:rPr>
                <w:rFonts w:ascii="Times New Roman" w:eastAsia="Times New Roman" w:hAnsi="Times New Roman" w:cs="Times New Roman"/>
                <w:sz w:val="20"/>
                <w:szCs w:val="20"/>
              </w:rPr>
            </w:pPr>
          </w:p>
        </w:tc>
        <w:tc>
          <w:tcPr>
            <w:tcW w:w="0" w:type="auto"/>
            <w:vAlign w:val="bottom"/>
            <w:hideMark/>
          </w:tcPr>
          <w:p w:rsidR="00A11DC6" w:rsidRPr="00A11DC6" w:rsidRDefault="00A11DC6" w:rsidP="00A11DC6">
            <w:pPr>
              <w:rPr>
                <w:rFonts w:ascii="Times New Roman" w:eastAsia="Times New Roman" w:hAnsi="Times New Roman" w:cs="Times New Roman"/>
                <w:sz w:val="20"/>
                <w:szCs w:val="20"/>
              </w:rPr>
            </w:pPr>
          </w:p>
        </w:tc>
      </w:tr>
    </w:tbl>
    <w:p w:rsidR="00A11DC6" w:rsidRPr="00A11DC6" w:rsidRDefault="00A11DC6" w:rsidP="00A11DC6">
      <w:pPr>
        <w:textAlignment w:val="baseline"/>
        <w:rPr>
          <w:rFonts w:ascii="Georgia" w:hAnsi="Georgia" w:cs="Times New Roman"/>
          <w:color w:val="000000"/>
          <w:sz w:val="30"/>
          <w:szCs w:val="30"/>
        </w:rPr>
      </w:pPr>
      <w:r w:rsidRPr="00A11DC6">
        <w:rPr>
          <w:rFonts w:ascii="inherit" w:hAnsi="inherit" w:cs="Times New Roman"/>
          <w:i/>
          <w:iCs/>
          <w:color w:val="000000"/>
          <w:sz w:val="30"/>
          <w:szCs w:val="30"/>
          <w:bdr w:val="none" w:sz="0" w:space="0" w:color="auto" w:frame="1"/>
        </w:rPr>
        <w:t>Instructions</w:t>
      </w:r>
    </w:p>
    <w:tbl>
      <w:tblPr>
        <w:tblW w:w="10020" w:type="dxa"/>
        <w:tblCellMar>
          <w:left w:w="0" w:type="dxa"/>
          <w:right w:w="0" w:type="dxa"/>
        </w:tblCellMar>
        <w:tblLook w:val="04A0" w:firstRow="1" w:lastRow="0" w:firstColumn="1" w:lastColumn="0" w:noHBand="0" w:noVBand="1"/>
      </w:tblPr>
      <w:tblGrid>
        <w:gridCol w:w="6526"/>
        <w:gridCol w:w="3494"/>
      </w:tblGrid>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66CCFF"/>
                <w:sz w:val="30"/>
                <w:szCs w:val="30"/>
              </w:rPr>
            </w:pPr>
            <w:r w:rsidRPr="00A11DC6">
              <w:rPr>
                <w:rFonts w:ascii="inherit" w:eastAsia="Times New Roman" w:hAnsi="inherit" w:cs="Times New Roman"/>
                <w:color w:val="66CCFF"/>
                <w:sz w:val="30"/>
                <w:szCs w:val="30"/>
              </w:rPr>
              <w:t>(a) Net increase</w:t>
            </w:r>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66CCFF"/>
                <w:sz w:val="30"/>
                <w:szCs w:val="30"/>
              </w:rPr>
            </w:pPr>
            <w:r w:rsidRPr="00A11DC6">
              <w:rPr>
                <w:rFonts w:ascii="inherit" w:eastAsia="Times New Roman" w:hAnsi="inherit" w:cs="Times New Roman"/>
                <w:color w:val="66CCFF"/>
                <w:sz w:val="30"/>
                <w:szCs w:val="30"/>
              </w:rPr>
              <w:t>$31,000</w:t>
            </w:r>
          </w:p>
        </w:tc>
      </w:tr>
    </w:tbl>
    <w:p w:rsidR="00A11DC6" w:rsidRPr="00A11DC6" w:rsidRDefault="00A11DC6" w:rsidP="00A11DC6">
      <w:pPr>
        <w:ind w:left="336" w:hanging="336"/>
        <w:textAlignment w:val="baseline"/>
        <w:rPr>
          <w:rFonts w:ascii="Georgia" w:hAnsi="Georgia" w:cs="Times New Roman"/>
          <w:color w:val="000000"/>
          <w:sz w:val="30"/>
          <w:szCs w:val="30"/>
        </w:rPr>
      </w:pPr>
      <w:r w:rsidRPr="00A11DC6">
        <w:rPr>
          <w:rFonts w:ascii="Georgia" w:hAnsi="Georgia" w:cs="Times New Roman"/>
          <w:color w:val="000000"/>
          <w:sz w:val="30"/>
          <w:szCs w:val="30"/>
        </w:rPr>
        <w:t xml:space="preserve">(a) Determine which items should be included in a statement of cash flows and then prepare the statement for </w:t>
      </w:r>
      <w:proofErr w:type="spellStart"/>
      <w:r w:rsidRPr="00A11DC6">
        <w:rPr>
          <w:rFonts w:ascii="Georgia" w:hAnsi="Georgia" w:cs="Times New Roman"/>
          <w:color w:val="000000"/>
          <w:sz w:val="30"/>
          <w:szCs w:val="30"/>
        </w:rPr>
        <w:t>Rojo</w:t>
      </w:r>
      <w:proofErr w:type="spellEnd"/>
      <w:r w:rsidRPr="00A11DC6">
        <w:rPr>
          <w:rFonts w:ascii="Georgia" w:hAnsi="Georgia" w:cs="Times New Roman"/>
          <w:color w:val="000000"/>
          <w:sz w:val="30"/>
          <w:szCs w:val="30"/>
        </w:rPr>
        <w:t xml:space="preserve"> Corporation.</w:t>
      </w:r>
    </w:p>
    <w:p w:rsidR="00A11DC6" w:rsidRPr="00A11DC6" w:rsidRDefault="00A11DC6" w:rsidP="00A11DC6">
      <w:pPr>
        <w:ind w:left="336" w:hanging="336"/>
        <w:textAlignment w:val="baseline"/>
        <w:rPr>
          <w:rFonts w:ascii="Georgia" w:hAnsi="Georgia" w:cs="Times New Roman"/>
          <w:color w:val="000000"/>
          <w:sz w:val="30"/>
          <w:szCs w:val="30"/>
        </w:rPr>
      </w:pPr>
      <w:r w:rsidRPr="00A11DC6">
        <w:rPr>
          <w:rFonts w:ascii="Georgia" w:hAnsi="Georgia" w:cs="Times New Roman"/>
          <w:color w:val="000000"/>
          <w:sz w:val="30"/>
          <w:szCs w:val="30"/>
        </w:rPr>
        <w:t>(b) Comment on the adequacy of net cash provided by operating activities to fund the company's investing activities and dividend payments.</w:t>
      </w:r>
    </w:p>
    <w:p w:rsidR="00A11DC6" w:rsidRPr="00A11DC6" w:rsidRDefault="00A11DC6" w:rsidP="00A11DC6">
      <w:pPr>
        <w:textAlignment w:val="baseline"/>
        <w:rPr>
          <w:rFonts w:ascii="inherit" w:hAnsi="inherit" w:cs="Times New Roman"/>
          <w:color w:val="000000"/>
          <w:sz w:val="30"/>
          <w:szCs w:val="30"/>
        </w:rPr>
      </w:pPr>
      <w:r w:rsidRPr="00A11DC6">
        <w:rPr>
          <w:rFonts w:ascii="inherit" w:hAnsi="inherit" w:cs="Times New Roman"/>
          <w:i/>
          <w:iCs/>
          <w:color w:val="000000"/>
          <w:sz w:val="30"/>
          <w:szCs w:val="30"/>
          <w:bdr w:val="none" w:sz="0" w:space="0" w:color="auto" w:frame="1"/>
        </w:rPr>
        <w:t>Comment on proper accounting treatment and prepare a corrected balance sheet</w:t>
      </w:r>
      <w:r w:rsidRPr="00A11DC6">
        <w:rPr>
          <w:rFonts w:ascii="inherit" w:hAnsi="inherit" w:cs="Times New Roman"/>
          <w:color w:val="000000"/>
          <w:sz w:val="30"/>
          <w:szCs w:val="30"/>
        </w:rPr>
        <w:t>.</w:t>
      </w:r>
    </w:p>
    <w:p w:rsidR="00A11DC6" w:rsidRPr="00A11DC6" w:rsidRDefault="00A11DC6" w:rsidP="00A11DC6">
      <w:pPr>
        <w:spacing w:before="48"/>
        <w:textAlignment w:val="baseline"/>
        <w:rPr>
          <w:rFonts w:ascii="inherit" w:hAnsi="inherit" w:cs="Times New Roman"/>
          <w:b/>
          <w:bCs/>
          <w:color w:val="66CCFF"/>
          <w:sz w:val="30"/>
          <w:szCs w:val="30"/>
        </w:rPr>
      </w:pPr>
      <w:r w:rsidRPr="00A11DC6">
        <w:rPr>
          <w:rFonts w:ascii="inherit" w:hAnsi="inherit" w:cs="Times New Roman"/>
          <w:b/>
          <w:bCs/>
          <w:color w:val="66CCFF"/>
          <w:sz w:val="30"/>
          <w:szCs w:val="30"/>
        </w:rPr>
        <w:t>(LO 3), AN</w:t>
      </w:r>
    </w:p>
    <w:p w:rsidR="00A11DC6" w:rsidRPr="00A11DC6" w:rsidRDefault="00A11DC6" w:rsidP="00A11DC6">
      <w:pPr>
        <w:spacing w:before="48" w:after="48"/>
        <w:textAlignment w:val="baseline"/>
        <w:rPr>
          <w:rFonts w:ascii="Georgia" w:hAnsi="Georgia" w:cs="Times New Roman"/>
          <w:color w:val="000000"/>
          <w:sz w:val="30"/>
          <w:szCs w:val="30"/>
        </w:rPr>
      </w:pPr>
      <w:r w:rsidRPr="00A11DC6">
        <w:rPr>
          <w:rFonts w:ascii="inherit" w:hAnsi="inherit" w:cs="Times New Roman"/>
          <w:b/>
          <w:bCs/>
          <w:color w:val="FF6633"/>
          <w:sz w:val="30"/>
          <w:szCs w:val="30"/>
        </w:rPr>
        <w:t>P1-5A</w:t>
      </w:r>
      <w:r w:rsidRPr="00A11DC6">
        <w:rPr>
          <w:rFonts w:ascii="Georgia" w:hAnsi="Georgia" w:cs="Times New Roman"/>
          <w:color w:val="000000"/>
          <w:sz w:val="30"/>
          <w:szCs w:val="30"/>
        </w:rPr>
        <w:t> </w:t>
      </w:r>
      <w:proofErr w:type="spellStart"/>
      <w:r w:rsidRPr="00A11DC6">
        <w:rPr>
          <w:rFonts w:ascii="Georgia" w:hAnsi="Georgia" w:cs="Times New Roman"/>
          <w:color w:val="000000"/>
          <w:sz w:val="30"/>
          <w:szCs w:val="30"/>
        </w:rPr>
        <w:t>Micado</w:t>
      </w:r>
      <w:proofErr w:type="spellEnd"/>
      <w:r w:rsidRPr="00A11DC6">
        <w:rPr>
          <w:rFonts w:ascii="Georgia" w:hAnsi="Georgia" w:cs="Times New Roman"/>
          <w:color w:val="000000"/>
          <w:sz w:val="30"/>
          <w:szCs w:val="30"/>
        </w:rPr>
        <w:t xml:space="preserve"> Corporation was formed on January 1, 2017. At December 31, 2017, </w:t>
      </w:r>
      <w:proofErr w:type="spellStart"/>
      <w:r w:rsidRPr="00A11DC6">
        <w:rPr>
          <w:rFonts w:ascii="Georgia" w:hAnsi="Georgia" w:cs="Times New Roman"/>
          <w:color w:val="000000"/>
          <w:sz w:val="30"/>
          <w:szCs w:val="30"/>
        </w:rPr>
        <w:t>Miko</w:t>
      </w:r>
      <w:proofErr w:type="spellEnd"/>
      <w:r w:rsidRPr="00A11DC6">
        <w:rPr>
          <w:rFonts w:ascii="Georgia" w:hAnsi="Georgia" w:cs="Times New Roman"/>
          <w:color w:val="000000"/>
          <w:sz w:val="30"/>
          <w:szCs w:val="30"/>
        </w:rPr>
        <w:t xml:space="preserve"> Liu, the president and sole stockholder, decided to prepare a balance sheet, which appeared as follows.</w:t>
      </w:r>
    </w:p>
    <w:p w:rsidR="00A11DC6" w:rsidRPr="00A11DC6" w:rsidRDefault="00A11DC6" w:rsidP="00A11DC6">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extent cx="304800" cy="304800"/>
                <wp:effectExtent l="0" t="0" r="0" b="0"/>
                <wp:docPr id="2" name="AutoShape 3"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aoHbo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MFI&#10;0g5adLe1yntG1xgxbkooV0draBwUa+hNBm8e+wft0jX9vSq/GSTVsqGy5nemh5IDEQDsqNJaDQ2n&#10;DKKOHUR4geEOBtDQZvioGLin4N6Xcl/pzvmAIqG979jTqWN8b1EJyuuIzCPoawmmg+w80Oz4uNfG&#10;vueqQ07IsYboPDjd3Rs7Xj1ecb6kKkTbgp5mrbxQAOaoAdfw1NlcEL7HP9MoXc/XcxKQZLoOSMRY&#10;cFcsSTAt4tlkdb1aLlfxL+c3JlkjGOPSuTnyLSZ/1s8D80emnBhnVCuYg3MhGV1vlq1GOwp8L/zy&#10;JQfL87XwMgxfL8jlRUpxQqJ3SRoU0/ksIBWZBOksmgdRnL5LpxFJyaq4TOleSP7vKaEhx+kkmfgu&#10;nQX9IrfIr9e50awTFiZKK7ocAzVguUs0cwxcS+ZlS0U7ymelcOE/lwLafWy056uj6Mj+jWJPQFet&#10;gE7APJh9IDRK/8BogDmSY/N9SzXHqP0ggfJpTIgbPP5AJrMEDvrcsjm3UFkCVI4tRqO4tOOw2vZa&#10;1A14in1hpHK/tBKewu4LjVEdPhfMCp/JYa65YXR+9reep+/iN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BvZqgdugIAAMUFAAAO&#10;AAAAAAAAAAAAAAAAACwCAABkcnMvZTJvRG9jLnhtbFBLAQItABQABgAIAAAAIQBMoOks2AAAAAMB&#10;AAAPAAAAAAAAAAAAAAAAABIFAABkcnMvZG93bnJldi54bWxQSwUGAAAAAAQABADzAAAAFwYAAAAA&#10;" filled="f" stroked="f">
                <o:lock v:ext="edit" aspectratio="t"/>
                <w10:anchorlock/>
              </v:rect>
            </w:pict>
          </mc:Fallback>
        </mc:AlternateContent>
      </w:r>
    </w:p>
    <w:p w:rsidR="00A11DC6" w:rsidRPr="00A11DC6" w:rsidRDefault="00A11DC6" w:rsidP="00A11DC6">
      <w:pPr>
        <w:spacing w:before="48" w:after="48"/>
        <w:textAlignment w:val="baseline"/>
        <w:rPr>
          <w:rFonts w:ascii="Georgia" w:hAnsi="Georgia" w:cs="Times New Roman"/>
          <w:color w:val="000000"/>
          <w:sz w:val="30"/>
          <w:szCs w:val="30"/>
        </w:rPr>
      </w:pPr>
      <w:proofErr w:type="spellStart"/>
      <w:r w:rsidRPr="00A11DC6">
        <w:rPr>
          <w:rFonts w:ascii="Georgia" w:hAnsi="Georgia" w:cs="Times New Roman"/>
          <w:color w:val="000000"/>
          <w:sz w:val="30"/>
          <w:szCs w:val="30"/>
        </w:rPr>
        <w:t>Miko</w:t>
      </w:r>
      <w:proofErr w:type="spellEnd"/>
      <w:r w:rsidRPr="00A11DC6">
        <w:rPr>
          <w:rFonts w:ascii="Georgia" w:hAnsi="Georgia" w:cs="Times New Roman"/>
          <w:color w:val="000000"/>
          <w:sz w:val="30"/>
          <w:szCs w:val="30"/>
        </w:rPr>
        <w:t xml:space="preserve"> willingly admits that she is not an accountant by training. She is concerned that her balance sheet might not be correct. She has provided you with the following additional information.</w:t>
      </w:r>
    </w:p>
    <w:p w:rsidR="00A11DC6" w:rsidRPr="00A11DC6" w:rsidRDefault="00A11DC6" w:rsidP="00A11DC6">
      <w:pPr>
        <w:numPr>
          <w:ilvl w:val="0"/>
          <w:numId w:val="1"/>
        </w:numPr>
        <w:spacing w:before="120"/>
        <w:textAlignment w:val="baseline"/>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 xml:space="preserve">The boat actually belongs to </w:t>
      </w:r>
      <w:proofErr w:type="spellStart"/>
      <w:r w:rsidRPr="00A11DC6">
        <w:rPr>
          <w:rFonts w:ascii="inherit" w:eastAsia="Times New Roman" w:hAnsi="inherit" w:cs="Times New Roman"/>
          <w:color w:val="000000"/>
          <w:sz w:val="30"/>
          <w:szCs w:val="30"/>
        </w:rPr>
        <w:t>Miko</w:t>
      </w:r>
      <w:proofErr w:type="spellEnd"/>
      <w:r w:rsidRPr="00A11DC6">
        <w:rPr>
          <w:rFonts w:ascii="inherit" w:eastAsia="Times New Roman" w:hAnsi="inherit" w:cs="Times New Roman"/>
          <w:color w:val="000000"/>
          <w:sz w:val="30"/>
          <w:szCs w:val="30"/>
        </w:rPr>
        <w:t xml:space="preserve">, not to </w:t>
      </w:r>
      <w:proofErr w:type="spellStart"/>
      <w:r w:rsidRPr="00A11DC6">
        <w:rPr>
          <w:rFonts w:ascii="inherit" w:eastAsia="Times New Roman" w:hAnsi="inherit" w:cs="Times New Roman"/>
          <w:color w:val="000000"/>
          <w:sz w:val="30"/>
          <w:szCs w:val="30"/>
        </w:rPr>
        <w:t>Micado</w:t>
      </w:r>
      <w:proofErr w:type="spellEnd"/>
      <w:r w:rsidRPr="00A11DC6">
        <w:rPr>
          <w:rFonts w:ascii="inherit" w:eastAsia="Times New Roman" w:hAnsi="inherit" w:cs="Times New Roman"/>
          <w:color w:val="000000"/>
          <w:sz w:val="30"/>
          <w:szCs w:val="30"/>
        </w:rPr>
        <w:t xml:space="preserve"> Corporation. However, because she thinks she might take customers out on the boat occasionally, she decided to list it as an asset of the company. To be consistent, she also listed as a liability of the corporation her personal loan that she took out at the bank to buy the boat.</w:t>
      </w:r>
    </w:p>
    <w:p w:rsidR="00A11DC6" w:rsidRPr="00A11DC6" w:rsidRDefault="00A11DC6" w:rsidP="00A11DC6">
      <w:pPr>
        <w:numPr>
          <w:ilvl w:val="0"/>
          <w:numId w:val="1"/>
        </w:numPr>
        <w:spacing w:before="120"/>
        <w:textAlignment w:val="baseline"/>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 xml:space="preserve">The inventory was originally purchased for $25,000, but due to a surge in demand </w:t>
      </w:r>
      <w:proofErr w:type="spellStart"/>
      <w:r w:rsidRPr="00A11DC6">
        <w:rPr>
          <w:rFonts w:ascii="inherit" w:eastAsia="Times New Roman" w:hAnsi="inherit" w:cs="Times New Roman"/>
          <w:color w:val="000000"/>
          <w:sz w:val="30"/>
          <w:szCs w:val="30"/>
        </w:rPr>
        <w:t>Miko</w:t>
      </w:r>
      <w:proofErr w:type="spellEnd"/>
      <w:r w:rsidRPr="00A11DC6">
        <w:rPr>
          <w:rFonts w:ascii="inherit" w:eastAsia="Times New Roman" w:hAnsi="inherit" w:cs="Times New Roman"/>
          <w:color w:val="000000"/>
          <w:sz w:val="30"/>
          <w:szCs w:val="30"/>
        </w:rPr>
        <w:t xml:space="preserve"> now thinks she could sell it for $36,000. She thought it would be best to record it at $36,000.</w:t>
      </w:r>
    </w:p>
    <w:p w:rsidR="00A11DC6" w:rsidRPr="00A11DC6" w:rsidRDefault="00A11DC6" w:rsidP="00A11DC6">
      <w:pPr>
        <w:numPr>
          <w:ilvl w:val="0"/>
          <w:numId w:val="1"/>
        </w:numPr>
        <w:textAlignment w:val="baseline"/>
        <w:rPr>
          <w:rFonts w:ascii="inherit" w:eastAsia="Times New Roman" w:hAnsi="inherit" w:cs="Times New Roman"/>
          <w:color w:val="000000"/>
          <w:sz w:val="30"/>
          <w:szCs w:val="30"/>
        </w:rPr>
      </w:pPr>
      <w:r w:rsidRPr="00A11DC6">
        <w:rPr>
          <w:rFonts w:ascii="inherit" w:eastAsia="Times New Roman" w:hAnsi="inherit" w:cs="Times New Roman"/>
          <w:color w:val="000000"/>
          <w:sz w:val="30"/>
          <w:szCs w:val="30"/>
        </w:rPr>
        <w:t xml:space="preserve">Included in the accounts receivable balance is $10,000 that </w:t>
      </w:r>
      <w:proofErr w:type="spellStart"/>
      <w:r w:rsidRPr="00A11DC6">
        <w:rPr>
          <w:rFonts w:ascii="inherit" w:eastAsia="Times New Roman" w:hAnsi="inherit" w:cs="Times New Roman"/>
          <w:color w:val="000000"/>
          <w:sz w:val="30"/>
          <w:szCs w:val="30"/>
        </w:rPr>
        <w:t>Miko</w:t>
      </w:r>
      <w:proofErr w:type="spellEnd"/>
      <w:r w:rsidRPr="00A11DC6">
        <w:rPr>
          <w:rFonts w:ascii="inherit" w:eastAsia="Times New Roman" w:hAnsi="inherit" w:cs="Times New Roman"/>
          <w:color w:val="000000"/>
          <w:sz w:val="30"/>
          <w:szCs w:val="30"/>
        </w:rPr>
        <w:t xml:space="preserve"> loaned to her brother 5 years ago. </w:t>
      </w:r>
      <w:proofErr w:type="spellStart"/>
      <w:r w:rsidRPr="00A11DC6">
        <w:rPr>
          <w:rFonts w:ascii="inherit" w:eastAsia="Times New Roman" w:hAnsi="inherit" w:cs="Times New Roman"/>
          <w:color w:val="000000"/>
          <w:sz w:val="30"/>
          <w:szCs w:val="30"/>
        </w:rPr>
        <w:t>Miko</w:t>
      </w:r>
      <w:proofErr w:type="spellEnd"/>
      <w:r w:rsidRPr="00A11DC6">
        <w:rPr>
          <w:rFonts w:ascii="inherit" w:eastAsia="Times New Roman" w:hAnsi="inherit" w:cs="Times New Roman"/>
          <w:color w:val="000000"/>
          <w:sz w:val="30"/>
          <w:szCs w:val="30"/>
        </w:rPr>
        <w:t xml:space="preserve"> included this in the receivables of </w:t>
      </w:r>
      <w:proofErr w:type="spellStart"/>
      <w:r w:rsidRPr="00A11DC6">
        <w:rPr>
          <w:rFonts w:ascii="inherit" w:eastAsia="Times New Roman" w:hAnsi="inherit" w:cs="Times New Roman"/>
          <w:color w:val="000000"/>
          <w:sz w:val="30"/>
          <w:szCs w:val="30"/>
        </w:rPr>
        <w:t>Micado</w:t>
      </w:r>
      <w:proofErr w:type="spellEnd"/>
      <w:r w:rsidRPr="00A11DC6">
        <w:rPr>
          <w:rFonts w:ascii="inherit" w:eastAsia="Times New Roman" w:hAnsi="inherit" w:cs="Times New Roman"/>
          <w:color w:val="000000"/>
          <w:sz w:val="30"/>
          <w:szCs w:val="30"/>
        </w:rPr>
        <w:t xml:space="preserve"> Corporation so she wouldn't forget that her brother owes her money.</w:t>
      </w:r>
    </w:p>
    <w:p w:rsidR="00A11DC6" w:rsidRPr="00A11DC6" w:rsidRDefault="00A11DC6" w:rsidP="00A11DC6">
      <w:pPr>
        <w:textAlignment w:val="baseline"/>
        <w:rPr>
          <w:rFonts w:ascii="Georgia" w:hAnsi="Georgia" w:cs="Times New Roman"/>
          <w:color w:val="000000"/>
          <w:sz w:val="30"/>
          <w:szCs w:val="30"/>
        </w:rPr>
      </w:pPr>
      <w:r w:rsidRPr="00A11DC6">
        <w:rPr>
          <w:rFonts w:ascii="inherit" w:hAnsi="inherit" w:cs="Times New Roman"/>
          <w:i/>
          <w:iCs/>
          <w:color w:val="000000"/>
          <w:sz w:val="30"/>
          <w:szCs w:val="30"/>
          <w:bdr w:val="none" w:sz="0" w:space="0" w:color="auto" w:frame="1"/>
        </w:rPr>
        <w:t>Instructions</w:t>
      </w:r>
      <w:r w:rsidRPr="00A11DC6">
        <w:rPr>
          <w:rFonts w:ascii="Georgia" w:hAnsi="Georgia" w:cs="Times New Roman"/>
          <w:color w:val="000000"/>
          <w:sz w:val="30"/>
          <w:szCs w:val="30"/>
        </w:rPr>
        <w:t> </w:t>
      </w:r>
      <w:r>
        <w:rPr>
          <w:rFonts w:ascii="Georgia" w:hAnsi="Georgia" w:cs="Times New Roman"/>
          <w:noProof/>
          <w:color w:val="000000"/>
          <w:sz w:val="30"/>
          <w:szCs w:val="30"/>
        </w:rPr>
        <mc:AlternateContent>
          <mc:Choice Requires="wps">
            <w:drawing>
              <wp:inline distT="0" distB="0" distL="0" distR="0">
                <wp:extent cx="304800" cy="304800"/>
                <wp:effectExtent l="0" t="0" r="0" b="0"/>
                <wp:docPr id="1" name="AutoShape 4" descr="mag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mag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jZebc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zCS&#10;tIMW3W2t8p4RwYhxU0K5OlpD46BYQ28yePPYP2iXrunvVfnNIKmWDZU1vzM9lHwEO6q0VkPDKYOo&#10;YwcRXmC4gwE0tBk+KgbuKbj3pdxXunM+oEho7zv2dOoY31tUgvI6IvMI+lqC6SA7DzQ7Pu61se+5&#10;6pATcqwhOg9Od/fGjlePV5wvqQrRtqCnWSsvFIA5asA1PHU2F4Tv8c80Stfz9ZwEJJmuAxIxFtwV&#10;SxJMi3g2WV2vlstV/Mv5jUnWCMa4dG6OfIvJn/XzwPyRKSfGGdUK5uBcSEbXm2Wr0Y4C3wu/fMnB&#10;8nwtvAzD1wtyeZFSnJDoXZIGxXQ+C0hFJkE6i+ZBFKfv0mlEUrIqLlO6F5L/e0poyHE6SSa+S2dB&#10;v8gt8ut1bjTrhIWJ0ooux0ANWO4SzRwD15J52VLRjvJZKVz4z6WAdh8b7fnqKDqyf6PYE9BVK6AT&#10;MA9mHwiN0j8wGmCO5Nh831LNMWo/SKB8GhPiBo8/kMksgYM+t2zOLVSWAJVji9EoLu04rLa9FnUD&#10;nmJfGKncL62Ep7D7QmNUh88Fs8Jncphrbhidn/2t5+m7+A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5JnDwPsAAADhAQAAEwAAAAAAAAAAAAAA&#10;AAAAAAAAW0NvbnRlbnRfVHlwZXNdLnhtbFBLAQItABQABgAIAAAAIQAjsmrh1wAAAJQBAAALAAAA&#10;AAAAAAAAAAAAACwBAABfcmVscy8ucmVsc1BLAQItABQABgAIAAAAIQCeyNl5twIAAMUFAAAOAAAA&#10;AAAAAAAAAAAAACwCAABkcnMvZTJvRG9jLnhtbFBLAQItABQABgAIAAAAIQBMoOks2AAAAAMBAAAP&#10;AAAAAAAAAAAAAAAAAA8FAABkcnMvZG93bnJldi54bWxQSwUGAAAAAAQABADzAAAAFAYAAAAA&#10;" filled="f" stroked="f">
                <o:lock v:ext="edit" aspectratio="t"/>
                <w10:anchorlock/>
              </v:rect>
            </w:pict>
          </mc:Fallback>
        </mc:AlternateContent>
      </w:r>
    </w:p>
    <w:p w:rsidR="00A11DC6" w:rsidRPr="00A11DC6" w:rsidRDefault="00A11DC6" w:rsidP="00A11DC6">
      <w:pPr>
        <w:ind w:left="336" w:hanging="336"/>
        <w:textAlignment w:val="baseline"/>
        <w:rPr>
          <w:rFonts w:ascii="Georgia" w:hAnsi="Georgia" w:cs="Times New Roman"/>
          <w:color w:val="000000"/>
          <w:sz w:val="30"/>
          <w:szCs w:val="30"/>
        </w:rPr>
      </w:pPr>
      <w:r w:rsidRPr="00A11DC6">
        <w:rPr>
          <w:rFonts w:ascii="Georgia" w:hAnsi="Georgia" w:cs="Times New Roman"/>
          <w:color w:val="000000"/>
          <w:sz w:val="30"/>
          <w:szCs w:val="30"/>
        </w:rPr>
        <w:t>(a) Comment on the proper accounting treatment of the three items above.</w:t>
      </w:r>
    </w:p>
    <w:p w:rsidR="00A11DC6" w:rsidRPr="00A11DC6" w:rsidRDefault="00A11DC6" w:rsidP="00A11DC6">
      <w:pPr>
        <w:ind w:left="336" w:hanging="336"/>
        <w:textAlignment w:val="baseline"/>
        <w:rPr>
          <w:rFonts w:ascii="Georgia" w:hAnsi="Georgia" w:cs="Times New Roman"/>
          <w:color w:val="000000"/>
          <w:sz w:val="30"/>
          <w:szCs w:val="30"/>
        </w:rPr>
      </w:pPr>
      <w:r w:rsidRPr="00A11DC6">
        <w:rPr>
          <w:rFonts w:ascii="Georgia" w:hAnsi="Georgia" w:cs="Times New Roman"/>
          <w:color w:val="000000"/>
          <w:sz w:val="30"/>
          <w:szCs w:val="30"/>
        </w:rPr>
        <w:t xml:space="preserve">(b) Provide a corrected balance sheet for </w:t>
      </w:r>
      <w:proofErr w:type="spellStart"/>
      <w:r w:rsidRPr="00A11DC6">
        <w:rPr>
          <w:rFonts w:ascii="Georgia" w:hAnsi="Georgia" w:cs="Times New Roman"/>
          <w:color w:val="000000"/>
          <w:sz w:val="30"/>
          <w:szCs w:val="30"/>
        </w:rPr>
        <w:t>Micado</w:t>
      </w:r>
      <w:proofErr w:type="spellEnd"/>
      <w:r w:rsidRPr="00A11DC6">
        <w:rPr>
          <w:rFonts w:ascii="Georgia" w:hAnsi="Georgia" w:cs="Times New Roman"/>
          <w:color w:val="000000"/>
          <w:sz w:val="30"/>
          <w:szCs w:val="30"/>
        </w:rPr>
        <w:t xml:space="preserve"> Corporation. (</w:t>
      </w:r>
      <w:r w:rsidRPr="00A11DC6">
        <w:rPr>
          <w:rFonts w:ascii="inherit" w:hAnsi="inherit" w:cs="Times New Roman"/>
          <w:i/>
          <w:iCs/>
          <w:color w:val="000000"/>
          <w:sz w:val="30"/>
          <w:szCs w:val="30"/>
          <w:bdr w:val="none" w:sz="0" w:space="0" w:color="auto" w:frame="1"/>
        </w:rPr>
        <w:t>Hint:</w:t>
      </w:r>
      <w:r w:rsidRPr="00A11DC6">
        <w:rPr>
          <w:rFonts w:ascii="Georgia" w:hAnsi="Georgia" w:cs="Times New Roman"/>
          <w:color w:val="000000"/>
          <w:sz w:val="30"/>
          <w:szCs w:val="30"/>
        </w:rPr>
        <w:t> To get the balance sheet to balance, adjust stockholders' equity.)</w:t>
      </w:r>
    </w:p>
    <w:tbl>
      <w:tblPr>
        <w:tblW w:w="0" w:type="auto"/>
        <w:tblCellMar>
          <w:left w:w="0" w:type="dxa"/>
          <w:right w:w="0" w:type="dxa"/>
        </w:tblCellMar>
        <w:tblLook w:val="04A0" w:firstRow="1" w:lastRow="0" w:firstColumn="1" w:lastColumn="0" w:noHBand="0" w:noVBand="1"/>
      </w:tblPr>
      <w:tblGrid>
        <w:gridCol w:w="1782"/>
        <w:gridCol w:w="1065"/>
      </w:tblGrid>
      <w:tr w:rsidR="00A11DC6" w:rsidRPr="00A11DC6" w:rsidTr="00A11DC6">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66CCFF"/>
                <w:sz w:val="30"/>
                <w:szCs w:val="30"/>
              </w:rPr>
            </w:pPr>
            <w:r w:rsidRPr="00A11DC6">
              <w:rPr>
                <w:rFonts w:ascii="inherit" w:eastAsia="Times New Roman" w:hAnsi="inherit" w:cs="Times New Roman"/>
                <w:color w:val="66CCFF"/>
                <w:sz w:val="30"/>
                <w:szCs w:val="30"/>
              </w:rPr>
              <w:t xml:space="preserve">(b) Tot. </w:t>
            </w:r>
            <w:proofErr w:type="gramStart"/>
            <w:r w:rsidRPr="00A11DC6">
              <w:rPr>
                <w:rFonts w:ascii="inherit" w:eastAsia="Times New Roman" w:hAnsi="inherit" w:cs="Times New Roman"/>
                <w:color w:val="66CCFF"/>
                <w:sz w:val="30"/>
                <w:szCs w:val="30"/>
              </w:rPr>
              <w:t>assets</w:t>
            </w:r>
            <w:proofErr w:type="gramEnd"/>
          </w:p>
        </w:tc>
        <w:tc>
          <w:tcPr>
            <w:tcW w:w="0" w:type="auto"/>
            <w:tcBorders>
              <w:top w:val="nil"/>
              <w:left w:val="nil"/>
              <w:bottom w:val="nil"/>
              <w:right w:val="nil"/>
            </w:tcBorders>
            <w:tcMar>
              <w:top w:w="45" w:type="dxa"/>
              <w:left w:w="45" w:type="dxa"/>
              <w:bottom w:w="45" w:type="dxa"/>
              <w:right w:w="45" w:type="dxa"/>
            </w:tcMar>
            <w:hideMark/>
          </w:tcPr>
          <w:p w:rsidR="00A11DC6" w:rsidRPr="00A11DC6" w:rsidRDefault="00A11DC6" w:rsidP="00A11DC6">
            <w:pPr>
              <w:rPr>
                <w:rFonts w:ascii="inherit" w:eastAsia="Times New Roman" w:hAnsi="inherit" w:cs="Times New Roman"/>
                <w:color w:val="66CCFF"/>
                <w:sz w:val="30"/>
                <w:szCs w:val="30"/>
              </w:rPr>
            </w:pPr>
            <w:r w:rsidRPr="00A11DC6">
              <w:rPr>
                <w:rFonts w:ascii="inherit" w:eastAsia="Times New Roman" w:hAnsi="inherit" w:cs="Times New Roman"/>
                <w:color w:val="66CCFF"/>
                <w:sz w:val="30"/>
                <w:szCs w:val="30"/>
              </w:rPr>
              <w:t>$85,000</w:t>
            </w:r>
          </w:p>
        </w:tc>
      </w:tr>
    </w:tbl>
    <w:p w:rsidR="00A11DC6" w:rsidRPr="00A11DC6" w:rsidRDefault="00A11DC6" w:rsidP="00A11DC6">
      <w:pPr>
        <w:rPr>
          <w:rFonts w:ascii="Times New Roman" w:eastAsia="Times New Roman" w:hAnsi="Times New Roman" w:cs="Times New Roman"/>
          <w:sz w:val="20"/>
          <w:szCs w:val="20"/>
        </w:rPr>
      </w:pPr>
      <w:r w:rsidRPr="00A11DC6">
        <w:rPr>
          <w:rFonts w:ascii="Times New Roman" w:eastAsia="Times New Roman" w:hAnsi="Times New Roman" w:cs="Times New Roman"/>
          <w:sz w:val="20"/>
          <w:szCs w:val="20"/>
        </w:rPr>
        <w:pict>
          <v:rect id="_x0000_i1029" style="width:0;height:1.5pt" o:hralign="center" o:hrstd="t" o:hrnoshade="t" o:hr="t" fillcolor="black" stroked="f"/>
        </w:pict>
      </w:r>
    </w:p>
    <w:p w:rsidR="00A11DC6" w:rsidRPr="00A11DC6" w:rsidRDefault="00A11DC6" w:rsidP="00A11DC6">
      <w:pPr>
        <w:spacing w:after="120"/>
        <w:textAlignment w:val="baseline"/>
        <w:outlineLvl w:val="1"/>
        <w:rPr>
          <w:rFonts w:ascii="Helvetica" w:eastAsia="Times New Roman" w:hAnsi="Helvetica" w:cs="Times New Roman"/>
          <w:b/>
          <w:bCs/>
          <w:color w:val="FF6633"/>
          <w:sz w:val="26"/>
          <w:szCs w:val="26"/>
        </w:rPr>
      </w:pPr>
      <w:r w:rsidRPr="00A11DC6">
        <w:rPr>
          <w:rFonts w:ascii="Helvetica" w:eastAsia="Times New Roman" w:hAnsi="Helvetica" w:cs="Times New Roman"/>
          <w:b/>
          <w:bCs/>
          <w:color w:val="FF6633"/>
          <w:sz w:val="26"/>
          <w:szCs w:val="26"/>
        </w:rPr>
        <w:t>PROBLEMS: SET B AND SET C</w:t>
      </w:r>
    </w:p>
    <w:p w:rsidR="00A11DC6" w:rsidRPr="00A11DC6" w:rsidRDefault="00A11DC6" w:rsidP="00A11DC6">
      <w:pPr>
        <w:textAlignment w:val="baseline"/>
        <w:rPr>
          <w:rFonts w:ascii="Georgia" w:hAnsi="Georgia" w:cs="Times New Roman"/>
          <w:color w:val="000000"/>
          <w:sz w:val="30"/>
          <w:szCs w:val="30"/>
        </w:rPr>
      </w:pPr>
      <w:r w:rsidRPr="00A11DC6">
        <w:rPr>
          <w:rFonts w:ascii="Georgia" w:hAnsi="Georgia" w:cs="Times New Roman"/>
          <w:color w:val="000000"/>
          <w:sz w:val="30"/>
          <w:szCs w:val="30"/>
        </w:rPr>
        <w:t>Visit the book's companion website, at </w:t>
      </w:r>
      <w:hyperlink r:id="rId6" w:history="1">
        <w:r w:rsidRPr="00A11DC6">
          <w:rPr>
            <w:rFonts w:ascii="inherit" w:hAnsi="inherit" w:cs="Times New Roman"/>
            <w:color w:val="0000FF"/>
            <w:sz w:val="30"/>
            <w:szCs w:val="30"/>
            <w:u w:val="single"/>
            <w:bdr w:val="none" w:sz="0" w:space="0" w:color="auto" w:frame="1"/>
          </w:rPr>
          <w:t>www.wiley.com/college/kimmel</w:t>
        </w:r>
      </w:hyperlink>
      <w:r w:rsidRPr="00A11DC6">
        <w:rPr>
          <w:rFonts w:ascii="Georgia" w:hAnsi="Georgia" w:cs="Times New Roman"/>
          <w:color w:val="000000"/>
          <w:sz w:val="30"/>
          <w:szCs w:val="30"/>
        </w:rPr>
        <w:t>, and choose the Student Companion site to access Problems: Set B and Set C.</w:t>
      </w:r>
    </w:p>
    <w:p w:rsidR="00A11DC6" w:rsidRPr="00A11DC6" w:rsidRDefault="00A11DC6" w:rsidP="00A11DC6">
      <w:pPr>
        <w:rPr>
          <w:rFonts w:ascii="Times New Roman" w:eastAsia="Times New Roman" w:hAnsi="Times New Roman" w:cs="Times New Roman"/>
          <w:sz w:val="20"/>
          <w:szCs w:val="20"/>
        </w:rPr>
      </w:pPr>
      <w:r w:rsidRPr="00A11DC6">
        <w:rPr>
          <w:rFonts w:ascii="Times New Roman" w:eastAsia="Times New Roman" w:hAnsi="Times New Roman" w:cs="Times New Roman"/>
          <w:sz w:val="20"/>
          <w:szCs w:val="20"/>
        </w:rPr>
        <w:pict>
          <v:rect id="_x0000_i1030" style="width:0;height:1.5pt" o:hralign="center" o:hrstd="t" o:hrnoshade="t" o:hr="t" fillcolor="black" stroked="f"/>
        </w:pict>
      </w:r>
    </w:p>
    <w:p w:rsidR="00A11DC6" w:rsidRPr="00A11DC6" w:rsidRDefault="00A11DC6" w:rsidP="00A11DC6">
      <w:pPr>
        <w:spacing w:after="120"/>
        <w:textAlignment w:val="baseline"/>
        <w:outlineLvl w:val="1"/>
        <w:rPr>
          <w:rFonts w:ascii="Helvetica" w:eastAsia="Times New Roman" w:hAnsi="Helvetica" w:cs="Times New Roman"/>
          <w:b/>
          <w:bCs/>
          <w:color w:val="FF6633"/>
          <w:sz w:val="26"/>
          <w:szCs w:val="26"/>
        </w:rPr>
      </w:pPr>
      <w:r w:rsidRPr="00A11DC6">
        <w:rPr>
          <w:rFonts w:ascii="Helvetica" w:eastAsia="Times New Roman" w:hAnsi="Helvetica" w:cs="Times New Roman"/>
          <w:b/>
          <w:bCs/>
          <w:color w:val="FF6633"/>
          <w:sz w:val="26"/>
          <w:szCs w:val="26"/>
        </w:rPr>
        <w:t>CONTINUING PROBLEM</w:t>
      </w:r>
    </w:p>
    <w:p w:rsidR="00A11DC6" w:rsidRPr="00A11DC6" w:rsidRDefault="00A11DC6" w:rsidP="00A11DC6">
      <w:pPr>
        <w:spacing w:before="120" w:after="120"/>
        <w:textAlignment w:val="baseline"/>
        <w:outlineLvl w:val="3"/>
        <w:rPr>
          <w:rFonts w:ascii="Helvetica" w:eastAsia="Times New Roman" w:hAnsi="Helvetica" w:cs="Times New Roman"/>
          <w:b/>
          <w:bCs/>
          <w:color w:val="000000"/>
          <w:sz w:val="30"/>
          <w:szCs w:val="30"/>
        </w:rPr>
      </w:pPr>
      <w:r w:rsidRPr="00A11DC6">
        <w:rPr>
          <w:rFonts w:ascii="Helvetica" w:eastAsia="Times New Roman" w:hAnsi="Helvetica" w:cs="Times New Roman"/>
          <w:b/>
          <w:bCs/>
          <w:color w:val="000000"/>
          <w:sz w:val="30"/>
          <w:szCs w:val="30"/>
        </w:rPr>
        <w:t>Cookie Creations</w:t>
      </w:r>
    </w:p>
    <w:p w:rsidR="00E7158F" w:rsidRDefault="00E7158F">
      <w:bookmarkStart w:id="0" w:name="_GoBack"/>
      <w:bookmarkEnd w:id="0"/>
    </w:p>
    <w:sectPr w:rsidR="00E7158F" w:rsidSect="008C42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30A2F"/>
    <w:multiLevelType w:val="multilevel"/>
    <w:tmpl w:val="A0EC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C6"/>
    <w:rsid w:val="008C4292"/>
    <w:rsid w:val="00A11DC6"/>
    <w:rsid w:val="00E71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6B0C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11DC6"/>
    <w:pPr>
      <w:spacing w:before="100" w:beforeAutospacing="1" w:after="100" w:afterAutospacing="1"/>
      <w:outlineLvl w:val="1"/>
    </w:pPr>
    <w:rPr>
      <w:rFonts w:ascii="Times New Roman" w:hAnsi="Times New Roman" w:cs="Times New Roman"/>
      <w:b/>
      <w:bCs/>
      <w:sz w:val="36"/>
      <w:szCs w:val="36"/>
    </w:rPr>
  </w:style>
  <w:style w:type="paragraph" w:styleId="Heading4">
    <w:name w:val="heading 4"/>
    <w:basedOn w:val="Normal"/>
    <w:link w:val="Heading4Char"/>
    <w:uiPriority w:val="9"/>
    <w:qFormat/>
    <w:rsid w:val="00A11DC6"/>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1DC6"/>
    <w:rPr>
      <w:rFonts w:ascii="Times New Roman" w:hAnsi="Times New Roman" w:cs="Times New Roman"/>
      <w:b/>
      <w:bCs/>
      <w:sz w:val="36"/>
      <w:szCs w:val="36"/>
    </w:rPr>
  </w:style>
  <w:style w:type="character" w:customStyle="1" w:styleId="Heading4Char">
    <w:name w:val="Heading 4 Char"/>
    <w:basedOn w:val="DefaultParagraphFont"/>
    <w:link w:val="Heading4"/>
    <w:uiPriority w:val="9"/>
    <w:rsid w:val="00A11DC6"/>
    <w:rPr>
      <w:rFonts w:ascii="Times New Roman" w:hAnsi="Times New Roman" w:cs="Times New Roman"/>
      <w:b/>
      <w:bCs/>
    </w:rPr>
  </w:style>
  <w:style w:type="paragraph" w:styleId="NormalWeb">
    <w:name w:val="Normal (Web)"/>
    <w:basedOn w:val="Normal"/>
    <w:uiPriority w:val="99"/>
    <w:unhideWhenUsed/>
    <w:rsid w:val="00A11DC6"/>
    <w:pPr>
      <w:spacing w:before="100" w:beforeAutospacing="1" w:after="100" w:afterAutospacing="1"/>
    </w:pPr>
    <w:rPr>
      <w:rFonts w:ascii="Times New Roman" w:hAnsi="Times New Roman" w:cs="Times New Roman"/>
      <w:sz w:val="20"/>
      <w:szCs w:val="20"/>
    </w:rPr>
  </w:style>
  <w:style w:type="paragraph" w:customStyle="1" w:styleId="lblue">
    <w:name w:val="lblue"/>
    <w:basedOn w:val="Normal"/>
    <w:rsid w:val="00A11DC6"/>
    <w:pPr>
      <w:spacing w:before="100" w:beforeAutospacing="1" w:after="100" w:afterAutospacing="1"/>
    </w:pPr>
    <w:rPr>
      <w:rFonts w:ascii="Times New Roman" w:hAnsi="Times New Roman" w:cs="Times New Roman"/>
      <w:sz w:val="20"/>
      <w:szCs w:val="20"/>
    </w:rPr>
  </w:style>
  <w:style w:type="paragraph" w:customStyle="1" w:styleId="hanging1">
    <w:name w:val="hanging1"/>
    <w:basedOn w:val="Normal"/>
    <w:rsid w:val="00A11DC6"/>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A11DC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11DC6"/>
    <w:pPr>
      <w:spacing w:before="100" w:beforeAutospacing="1" w:after="100" w:afterAutospacing="1"/>
      <w:outlineLvl w:val="1"/>
    </w:pPr>
    <w:rPr>
      <w:rFonts w:ascii="Times New Roman" w:hAnsi="Times New Roman" w:cs="Times New Roman"/>
      <w:b/>
      <w:bCs/>
      <w:sz w:val="36"/>
      <w:szCs w:val="36"/>
    </w:rPr>
  </w:style>
  <w:style w:type="paragraph" w:styleId="Heading4">
    <w:name w:val="heading 4"/>
    <w:basedOn w:val="Normal"/>
    <w:link w:val="Heading4Char"/>
    <w:uiPriority w:val="9"/>
    <w:qFormat/>
    <w:rsid w:val="00A11DC6"/>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1DC6"/>
    <w:rPr>
      <w:rFonts w:ascii="Times New Roman" w:hAnsi="Times New Roman" w:cs="Times New Roman"/>
      <w:b/>
      <w:bCs/>
      <w:sz w:val="36"/>
      <w:szCs w:val="36"/>
    </w:rPr>
  </w:style>
  <w:style w:type="character" w:customStyle="1" w:styleId="Heading4Char">
    <w:name w:val="Heading 4 Char"/>
    <w:basedOn w:val="DefaultParagraphFont"/>
    <w:link w:val="Heading4"/>
    <w:uiPriority w:val="9"/>
    <w:rsid w:val="00A11DC6"/>
    <w:rPr>
      <w:rFonts w:ascii="Times New Roman" w:hAnsi="Times New Roman" w:cs="Times New Roman"/>
      <w:b/>
      <w:bCs/>
    </w:rPr>
  </w:style>
  <w:style w:type="paragraph" w:styleId="NormalWeb">
    <w:name w:val="Normal (Web)"/>
    <w:basedOn w:val="Normal"/>
    <w:uiPriority w:val="99"/>
    <w:unhideWhenUsed/>
    <w:rsid w:val="00A11DC6"/>
    <w:pPr>
      <w:spacing w:before="100" w:beforeAutospacing="1" w:after="100" w:afterAutospacing="1"/>
    </w:pPr>
    <w:rPr>
      <w:rFonts w:ascii="Times New Roman" w:hAnsi="Times New Roman" w:cs="Times New Roman"/>
      <w:sz w:val="20"/>
      <w:szCs w:val="20"/>
    </w:rPr>
  </w:style>
  <w:style w:type="paragraph" w:customStyle="1" w:styleId="lblue">
    <w:name w:val="lblue"/>
    <w:basedOn w:val="Normal"/>
    <w:rsid w:val="00A11DC6"/>
    <w:pPr>
      <w:spacing w:before="100" w:beforeAutospacing="1" w:after="100" w:afterAutospacing="1"/>
    </w:pPr>
    <w:rPr>
      <w:rFonts w:ascii="Times New Roman" w:hAnsi="Times New Roman" w:cs="Times New Roman"/>
      <w:sz w:val="20"/>
      <w:szCs w:val="20"/>
    </w:rPr>
  </w:style>
  <w:style w:type="paragraph" w:customStyle="1" w:styleId="hanging1">
    <w:name w:val="hanging1"/>
    <w:basedOn w:val="Normal"/>
    <w:rsid w:val="00A11DC6"/>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A11D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5208">
      <w:bodyDiv w:val="1"/>
      <w:marLeft w:val="0"/>
      <w:marRight w:val="0"/>
      <w:marTop w:val="0"/>
      <w:marBottom w:val="0"/>
      <w:divBdr>
        <w:top w:val="none" w:sz="0" w:space="0" w:color="auto"/>
        <w:left w:val="none" w:sz="0" w:space="0" w:color="auto"/>
        <w:bottom w:val="none" w:sz="0" w:space="0" w:color="auto"/>
        <w:right w:val="none" w:sz="0" w:space="0" w:color="auto"/>
      </w:divBdr>
      <w:divsChild>
        <w:div w:id="1901597587">
          <w:marLeft w:val="0"/>
          <w:marRight w:val="0"/>
          <w:marTop w:val="240"/>
          <w:marBottom w:val="240"/>
          <w:divBdr>
            <w:top w:val="none" w:sz="0" w:space="0" w:color="auto"/>
            <w:left w:val="none" w:sz="0" w:space="0" w:color="auto"/>
            <w:bottom w:val="none" w:sz="0" w:space="0" w:color="auto"/>
            <w:right w:val="none" w:sz="0" w:space="0" w:color="auto"/>
          </w:divBdr>
        </w:div>
        <w:div w:id="795374305">
          <w:marLeft w:val="0"/>
          <w:marRight w:val="0"/>
          <w:marTop w:val="240"/>
          <w:marBottom w:val="240"/>
          <w:divBdr>
            <w:top w:val="none" w:sz="0" w:space="0" w:color="auto"/>
            <w:left w:val="none" w:sz="0" w:space="0" w:color="auto"/>
            <w:bottom w:val="none" w:sz="0" w:space="0" w:color="auto"/>
            <w:right w:val="none" w:sz="0" w:space="0" w:color="auto"/>
          </w:divBdr>
        </w:div>
        <w:div w:id="652413523">
          <w:marLeft w:val="0"/>
          <w:marRight w:val="0"/>
          <w:marTop w:val="240"/>
          <w:marBottom w:val="24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ley.com/college/kimme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3182</Characters>
  <Application>Microsoft Macintosh Word</Application>
  <DocSecurity>0</DocSecurity>
  <Lines>26</Lines>
  <Paragraphs>7</Paragraphs>
  <ScaleCrop>false</ScaleCrop>
  <Company>LLI</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Eugenius Life</dc:creator>
  <cp:keywords/>
  <dc:description/>
  <cp:lastModifiedBy>Eugenius Life</cp:lastModifiedBy>
  <cp:revision>1</cp:revision>
  <dcterms:created xsi:type="dcterms:W3CDTF">2017-12-04T04:06:00Z</dcterms:created>
  <dcterms:modified xsi:type="dcterms:W3CDTF">2017-12-04T04:06:00Z</dcterms:modified>
</cp:coreProperties>
</file>